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Zhlav"/>
        <w:pBdr>
          <w:bottom w:val="single" w:sz="12" w:space="1" w:color="000000"/>
        </w:pBdr>
        <w:tabs>
          <w:tab w:val="clear" w:pos="4536"/>
          <w:tab w:val="clear" w:pos="9072"/>
          <w:tab w:val="left" w:pos="8610" w:leader="none"/>
          <w:tab w:val="right" w:pos="9070" w:leader="none"/>
        </w:tabs>
        <w:jc w:val="center"/>
        <w:rPr/>
      </w:pPr>
      <w:r>
        <w:rPr/>
        <w:drawing>
          <wp:inline distT="0" distB="0" distL="0" distR="0">
            <wp:extent cx="1524000" cy="457200"/>
            <wp:effectExtent l="0" t="0" r="0" b="0"/>
            <wp:docPr id="1" name="obrázek 1" descr="LOGO-hlavP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-hlavPap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Zhlav"/>
        <w:pBdr>
          <w:bottom w:val="single" w:sz="12" w:space="1" w:color="000000"/>
        </w:pBdr>
        <w:tabs>
          <w:tab w:val="clear" w:pos="4536"/>
          <w:tab w:val="clear" w:pos="9072"/>
          <w:tab w:val="left" w:pos="10773" w:leader="none"/>
        </w:tabs>
        <w:jc w:val="center"/>
        <w:rPr/>
      </w:pPr>
      <w:r>
        <w:rPr/>
      </w:r>
    </w:p>
    <w:p>
      <w:pPr>
        <w:pStyle w:val="Zhlav"/>
        <w:tabs>
          <w:tab w:val="center" w:pos="4536" w:leader="none"/>
          <w:tab w:val="right" w:pos="9072" w:leader="none"/>
          <w:tab w:val="left" w:pos="10773" w:leader="none"/>
        </w:tabs>
        <w:jc w:val="center"/>
        <w:rPr>
          <w:rFonts w:ascii="Arial" w:hAnsi="Arial" w:cs="Arial"/>
          <w:b/>
          <w:b/>
          <w:iCs/>
          <w:szCs w:val="24"/>
        </w:rPr>
      </w:pPr>
      <w:r>
        <w:rPr>
          <w:rFonts w:cs="Arial" w:ascii="Arial" w:hAnsi="Arial"/>
          <w:b/>
          <w:iCs/>
          <w:szCs w:val="24"/>
        </w:rPr>
      </w:r>
    </w:p>
    <w:p>
      <w:pPr>
        <w:pStyle w:val="Zhlav"/>
        <w:tabs>
          <w:tab w:val="center" w:pos="4536" w:leader="none"/>
          <w:tab w:val="right" w:pos="9072" w:leader="none"/>
          <w:tab w:val="left" w:pos="10773" w:leader="none"/>
        </w:tabs>
        <w:jc w:val="center"/>
        <w:rPr>
          <w:rFonts w:ascii="Arial" w:hAnsi="Arial" w:cs="Arial"/>
          <w:b/>
          <w:b/>
          <w:iCs/>
          <w:szCs w:val="24"/>
        </w:rPr>
      </w:pPr>
      <w:r>
        <w:rPr>
          <w:rFonts w:cs="Arial" w:ascii="Arial" w:hAnsi="Arial"/>
          <w:b/>
          <w:iCs/>
          <w:szCs w:val="24"/>
        </w:rPr>
        <w:t>Finanční úřad pro Moravskoslezský kraj</w:t>
      </w:r>
    </w:p>
    <w:p>
      <w:pPr>
        <w:pStyle w:val="Zhlav"/>
        <w:tabs>
          <w:tab w:val="center" w:pos="4536" w:leader="none"/>
          <w:tab w:val="right" w:pos="9072" w:leader="none"/>
          <w:tab w:val="left" w:pos="10773" w:leader="none"/>
        </w:tabs>
        <w:jc w:val="center"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 xml:space="preserve">Na Jízdárně 3, 709 00 Ostrava </w:t>
      </w:r>
    </w:p>
    <w:p>
      <w:pPr>
        <w:pStyle w:val="Zhlav"/>
        <w:tabs>
          <w:tab w:val="center" w:pos="4536" w:leader="none"/>
          <w:tab w:val="right" w:pos="9072" w:leader="none"/>
          <w:tab w:val="left" w:pos="10773" w:leader="none"/>
        </w:tabs>
        <w:jc w:val="center"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  <w:t>Tel.: 596 651 302</w:t>
      </w:r>
    </w:p>
    <w:p>
      <w:pPr>
        <w:pStyle w:val="Zhlav"/>
        <w:tabs>
          <w:tab w:val="center" w:pos="4536" w:leader="none"/>
          <w:tab w:val="right" w:pos="9072" w:leader="none"/>
          <w:tab w:val="left" w:pos="10773" w:leader="none"/>
        </w:tabs>
        <w:jc w:val="center"/>
        <w:rPr>
          <w:rFonts w:ascii="Arial" w:hAnsi="Arial" w:cs="Arial"/>
          <w:iCs/>
          <w:sz w:val="22"/>
        </w:rPr>
      </w:pPr>
      <w:r>
        <w:rPr>
          <w:rFonts w:cs="Arial" w:ascii="Arial" w:hAnsi="Arial"/>
          <w:iCs/>
          <w:sz w:val="22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Informace pro občany a média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Lhůta pro podání přiznání k dani z nemovitých věcí na rok 2023 skončí  31. ledna. Finanční úřad pro Moravskoslezský kraj proto s cílem pomoci občanům s podáním přiznání od pondělí  23. ledna  do  středy 1. února  rozšiřuje  úřední hodiny.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 období od pondělí  23. ledna 2023 do středy 1. února 2023</w:t>
      </w:r>
      <w:r>
        <w:rPr>
          <w:sz w:val="24"/>
          <w:szCs w:val="24"/>
        </w:rPr>
        <w:t xml:space="preserve">  je možné se obracet na  zaměstnance finančního úřadu na územních pracovištích v Ostravě, v Karviné, v Havířově, v Novém Jičíně, v Kopřivnici, v   Opavě, v Hlučíně, ve Frýdku – Místku, v Třinci, v Krnově a v Bruntále  </w:t>
      </w:r>
      <w:r>
        <w:rPr>
          <w:b/>
          <w:bCs/>
          <w:sz w:val="24"/>
          <w:szCs w:val="24"/>
        </w:rPr>
        <w:t>osobně  i telefonicky  v těchto časech</w:t>
      </w:r>
      <w:r>
        <w:rPr>
          <w:sz w:val="24"/>
          <w:szCs w:val="24"/>
        </w:rPr>
        <w:t>:</w:t>
      </w:r>
    </w:p>
    <w:tbl>
      <w:tblPr>
        <w:tblW w:w="3535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07"/>
        <w:gridCol w:w="1427"/>
      </w:tblGrid>
      <w:tr>
        <w:trPr/>
        <w:tc>
          <w:tcPr>
            <w:tcW w:w="21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PONDĚLÍ a STŘEDA</w:t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8:00 – 17:00</w:t>
            </w:r>
          </w:p>
        </w:tc>
      </w:tr>
      <w:tr>
        <w:trPr/>
        <w:tc>
          <w:tcPr>
            <w:tcW w:w="21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ÚTERÝ a ČTVRTEK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8:00 – 15:30</w:t>
            </w:r>
          </w:p>
        </w:tc>
      </w:tr>
      <w:tr>
        <w:trPr/>
        <w:tc>
          <w:tcPr>
            <w:tcW w:w="21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PÁTEK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8:00 – 13:30</w:t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Zaměstnanci finančního úřadu se občanům ve věci daně z nemovitých věcí věnují také na pracovištích v Orlové, v Bohumíně, v Českém Těšíně,  ve  Frýdlantu nad Ostravicí a   ve Fulneku, zde však pouze v úředních dnech (pondělí a středa) od 08:00 do 17:00 hodin.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cílem usnadnit občanům podání přiznání k dani z nemovitých věcí přivítali v lednu úředníky finančního úřadu také na třech obecních úřadech, a to v obcích  Nižní Lhoty, Vítkov a Vřesina u Opavy.  Na každém z těchto míst daňoví úředníci poskytli konzultace k vyplnění přiznání, informace a tiskopisy desítkám až stovkám občanů vyjmenovaných i přilehlých obcí, kteří stále dávají přednost osobnímu kontaktu.   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Osobně je možné konzultovat správnost vyplněného daňového přiznání  se zaměstnanci finančního úřadu rovněž </w:t>
      </w:r>
      <w:r>
        <w:rPr>
          <w:b/>
          <w:bCs/>
          <w:sz w:val="24"/>
          <w:szCs w:val="24"/>
        </w:rPr>
        <w:t>26. ledna 2023 od 8:00 do 16:30 hodin  na Obecním úřadě v Raškovicích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/>
      </w:pPr>
      <w:r>
        <w:rPr>
          <w:sz w:val="24"/>
          <w:szCs w:val="24"/>
        </w:rPr>
        <w:t>Všechny tiskopisy a informace však lze získat bez osobní návštěvy úřadů na webu</w:t>
      </w:r>
      <w:r>
        <w:rPr/>
        <w:t xml:space="preserve"> </w:t>
      </w:r>
      <w:hyperlink r:id="rId3">
        <w:r>
          <w:rPr>
            <w:rStyle w:val="Internetovodkaz"/>
            <w:sz w:val="24"/>
            <w:szCs w:val="24"/>
          </w:rPr>
          <w:t>www.financnisprava.cz</w:t>
        </w:r>
      </w:hyperlink>
      <w:r>
        <w:rPr>
          <w:rStyle w:val="Internetovodkaz"/>
          <w:sz w:val="24"/>
          <w:szCs w:val="24"/>
        </w:rPr>
        <w:t xml:space="preserve">  v záložce </w:t>
      </w:r>
      <w:hyperlink r:id="rId4">
        <w:r>
          <w:rPr>
            <w:rStyle w:val="Internetovodkaz"/>
          </w:rPr>
          <w:t>Daň z nemovitých věcí | Daně | Daně | Finanční správa (financnisprava.cz)</w:t>
        </w:r>
      </w:hyperlink>
    </w:p>
    <w:p>
      <w:pPr>
        <w:pStyle w:val="Normal"/>
        <w:jc w:val="both"/>
        <w:rPr/>
      </w:pPr>
      <w:r>
        <w:rPr>
          <w:sz w:val="24"/>
          <w:szCs w:val="24"/>
        </w:rPr>
        <w:t xml:space="preserve">Finanční úřad </w:t>
      </w:r>
      <w:r>
        <w:rPr>
          <w:b/>
          <w:sz w:val="24"/>
          <w:szCs w:val="24"/>
        </w:rPr>
        <w:t>doporučuje využít k vyplnění i k podání daňového přiznání elektronickou aplikaci Elektronická podání pro Finanční správu nebo aplikaci Online finanční úřad</w:t>
      </w:r>
      <w:r>
        <w:rPr>
          <w:sz w:val="24"/>
          <w:szCs w:val="24"/>
        </w:rPr>
        <w:t xml:space="preserve"> na adrese</w:t>
      </w:r>
      <w:r>
        <w:rPr>
          <w:b/>
          <w:sz w:val="24"/>
          <w:szCs w:val="24"/>
        </w:rPr>
        <w:t xml:space="preserve"> </w:t>
      </w:r>
      <w:hyperlink r:id="rId5">
        <w:r>
          <w:rPr>
            <w:rStyle w:val="Internetovodkaz"/>
            <w:b/>
            <w:sz w:val="24"/>
            <w:szCs w:val="24"/>
          </w:rPr>
          <w:t>www.mojedane.cz</w:t>
        </w:r>
      </w:hyperlink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kde lze tiskopis Přiznání k dani z nemovitých věcí na rok 2023 vyplnit automatizovaně s nápovědami, kontrolami, automatickými součty a současně toto podání odeslat nebo vytisknout. V </w:t>
      </w:r>
      <w:r>
        <w:rPr>
          <w:b/>
          <w:sz w:val="24"/>
          <w:szCs w:val="24"/>
        </w:rPr>
        <w:t>aplikaci Online finanční úřad</w:t>
      </w:r>
      <w:r>
        <w:rPr>
          <w:sz w:val="24"/>
          <w:szCs w:val="24"/>
        </w:rPr>
        <w:t xml:space="preserve">  může vlastník nemovité věci</w:t>
      </w:r>
      <w:r>
        <w:rPr>
          <w:b/>
          <w:bCs/>
          <w:sz w:val="24"/>
          <w:szCs w:val="24"/>
        </w:rPr>
        <w:t xml:space="preserve"> využít služby předvyplnění daňového přiznání </w:t>
      </w:r>
      <w:r>
        <w:rPr>
          <w:sz w:val="24"/>
          <w:szCs w:val="24"/>
        </w:rPr>
        <w:t xml:space="preserve">údaji z posledního přiznání (tj. nemusí vyplňovat do daňového přiznání ty nemovité věci, které již v minulosti v přiznání uvedl).  V daňové informační schránce DIS+ lze využít také službu </w:t>
      </w:r>
      <w:r>
        <w:rPr>
          <w:b/>
          <w:bCs/>
          <w:sz w:val="24"/>
          <w:szCs w:val="24"/>
        </w:rPr>
        <w:t>Ověření na katastr nemovitostí</w:t>
      </w:r>
      <w:r>
        <w:rPr>
          <w:sz w:val="24"/>
          <w:szCs w:val="24"/>
        </w:rPr>
        <w:t>, pomocí které si občan může ještě před odesláním daňového přiznání na finanční úřad zkontrolovat, zda údaje ve vyplněném daňovém přiznání odpovídají údajům, uvedeným v katastru nemovitostí.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Finanční úřad upozorňuje, že osoby se zpřístupněnou datovou schránkou, která jim byla </w:t>
      </w:r>
      <w:r>
        <w:rPr>
          <w:sz w:val="24"/>
          <w:szCs w:val="24"/>
          <w:u w:val="single"/>
        </w:rPr>
        <w:t>zřízena ze zákona,</w:t>
      </w:r>
      <w:r>
        <w:rPr>
          <w:sz w:val="24"/>
          <w:szCs w:val="24"/>
        </w:rPr>
        <w:t xml:space="preserve"> mají povinnost podat přiznání elektronicky.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Povinnost podat přiznání se týká především nových vlastníků pozemků, zdanitelných staveb, bytových a nebytových jednotek (včetně majitelů bytových jednotek převedených v roce 2022 z družstevního do osobního vlastnictví). Do daňového přiznání se uvádí všechny zdanitelné stavby (budovy nebo vybrané inženýrské stavby), bytové a nebytové jednotky, které se nachází na území Moravskoslezského kraje.  </w:t>
      </w:r>
      <w:r>
        <w:rPr>
          <w:sz w:val="24"/>
          <w:szCs w:val="24"/>
          <w:u w:val="single"/>
        </w:rPr>
        <w:t>Rozhodný je stav vlastnictví nemovité věci k </w:t>
        <w:br/>
        <w:t>1. 1. 2023.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Pozornost těmto řádkům by měli věnovat také vlastníci nemovitostí, kteří v roce 2022 všechny nemovitosti nebo část svých nemovitostí umístěných v Moravskoslezském kraji prodali, darovali nebo je jiným způsobem převedli na nové vlastníky. Také bývalým vlastníkům nemovitých věcí totiž zákon ukládá povinnost komunikovat s finančním úřadem, a to buď formou podání daňového přiznání (pokud jsou ke dni  1. 1. 2023 vlastníky nemovitých věcí v obvodu územní působnosti Finančního úřadu pro Moravskoslezský kraj) nebo formou písemného oznámení, že v roce 2022 přestali být vlastníky nemovitých věcí a nadále již k 1. 1. 2023 nejsou vlastníky žádné nemovité věci ani poplatníky daně za nemovité věci v obvodu územní působnosti FÚ pro Moravskoslezský kraj.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Důvodem pro povinné podání daňového přiznání je i digitalizace katastrálních území, která proběhla v roce 2022. Tímto úkonem ve většině případů dochází ke změně poplatníka u parcel pronajatých zemědělským subjektům, dále ke změně číslování parcel a ke změně výměry parcel.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roce 2022 byly prováděny v některých katastrálních územích pozemkové úpravy a revize údajů katastru, na základě kterých také došlo ke změnám výměr pozemků, druhů pozemků, parcelních čísel a slučování pozemků. Vlastníci nemovitostí byli o změnách skutečností plynoucích z pozemkových úprav informování rozhodnutím nebo veřejnou vyhláškou vyvěšenou na obecním úřadě příslušné obce a vznikla jim povinnost podat Finančnímu úřadu pro Moravskoslezský kraj přiznání k dani z nemovitých věcí dle stavu k 1. lednu 2023.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Pokud vlastník nemovité věci, která se nachází v Moravskoslezském kraji, podával přiznání k dani z nemovitých věcí Finančnímu úřadu pro Moravskoslezský kraj v  uplynulých letech a nezměnily se skutečnosti rozhodné pro výpočet daně, daňové přiznání znovu nepodává. Skutečnost, že došlo ke změně stanovené ceny půdy nebo výše místního koeficientu není sama o sobě důvodem pro podání daňového přiznání.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Vlastník nemovité věci umístěné na území Moravskoslezského kraje, který tuto nemovitou věc zahrnul do přiznání k dani z nemovitých věcí podaného v uplynulých letech, má povinnost podat daňové přiznání zejména, pokud realizoval přístavbu, nástavbu nebo naopak část stavby zlikvidoval, dále pak v případech, kdy došlo ke změně výměry jeho pozemků nebo ke změně druhu pozemku, zvýšení počtu nadzemních podlaží apod. </w:t>
      </w:r>
    </w:p>
    <w:p>
      <w:pPr>
        <w:pStyle w:val="Normal"/>
        <w:jc w:val="both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Ke koeficientům obcí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Obce mohou obecně závaznou vyhláškou pro všechny nemovitosti na území obce stanovit místní koeficient v rozpětí 1,1 až 5. Od roku 2022 mohou obce ve stejném rozsahu stanovit místní koeficient i vymezením území obce např. výčtem parcel, který obec uvede v obecně závazné vyhlášce.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Tímto koeficientem se pak násobí daň poplatníka za jednotlivé druhy pozemků, zdanitelných staveb nebo jednotek, případně jejich souhrny (s určitými výjimkami).  </w:t>
      </w:r>
      <w:r>
        <w:rPr>
          <w:b/>
          <w:sz w:val="24"/>
          <w:szCs w:val="24"/>
        </w:rPr>
        <w:t xml:space="preserve">Pro rok 2023 využilo možnosti stanovit místní koeficient 57 obcí v Moravskoslezském kraji. </w:t>
      </w:r>
    </w:p>
    <w:p>
      <w:pPr>
        <w:pStyle w:val="Normal"/>
        <w:jc w:val="both"/>
        <w:rPr>
          <w:b/>
          <w:b/>
          <w:sz w:val="24"/>
          <w:szCs w:val="24"/>
        </w:rPr>
      </w:pPr>
      <w:r>
        <w:rPr>
          <w:sz w:val="24"/>
          <w:szCs w:val="24"/>
        </w:rPr>
        <w:t>Obec Kružberk stanovila místní koeficient ve výši 1,1. Celkem</w:t>
      </w:r>
      <w:r>
        <w:rPr>
          <w:b/>
          <w:sz w:val="24"/>
          <w:szCs w:val="24"/>
        </w:rPr>
        <w:t xml:space="preserve"> 39 obcí</w:t>
      </w:r>
      <w:r>
        <w:rPr>
          <w:sz w:val="24"/>
          <w:szCs w:val="24"/>
        </w:rPr>
        <w:t xml:space="preserve"> kraje stanovilo místní koeficient ve výši dvě, </w:t>
      </w:r>
      <w:r>
        <w:rPr>
          <w:b/>
          <w:sz w:val="24"/>
          <w:szCs w:val="24"/>
        </w:rPr>
        <w:t>1 obec</w:t>
      </w:r>
      <w:r>
        <w:rPr>
          <w:sz w:val="24"/>
          <w:szCs w:val="24"/>
        </w:rPr>
        <w:t xml:space="preserve"> stanovila místní koeficient ve výši 2,3 (Vratimov), </w:t>
      </w:r>
      <w:r>
        <w:rPr>
          <w:b/>
          <w:sz w:val="24"/>
          <w:szCs w:val="24"/>
        </w:rPr>
        <w:t>7 obcí</w:t>
      </w:r>
      <w:r>
        <w:rPr>
          <w:sz w:val="24"/>
          <w:szCs w:val="24"/>
        </w:rPr>
        <w:t xml:space="preserve"> stanovilo místní koeficient ve výši tři (Rudná pod Pradědem, Nošovice, Malenovice, Ostravice, Frýdlant nad Ostravicí, Dětmarovice, Mořkov), </w:t>
      </w:r>
      <w:r>
        <w:rPr>
          <w:b/>
          <w:sz w:val="24"/>
          <w:szCs w:val="24"/>
        </w:rPr>
        <w:t>2 obce</w:t>
      </w:r>
      <w:r>
        <w:rPr>
          <w:sz w:val="24"/>
          <w:szCs w:val="24"/>
        </w:rPr>
        <w:t xml:space="preserve"> stanovily místní koeficient ve výši čtyři (Oprechtice ve Slezsku, Paskov) a </w:t>
      </w:r>
      <w:r>
        <w:rPr>
          <w:b/>
          <w:sz w:val="24"/>
          <w:szCs w:val="24"/>
        </w:rPr>
        <w:t xml:space="preserve">6 obcí </w:t>
      </w:r>
      <w:r>
        <w:rPr>
          <w:sz w:val="24"/>
          <w:szCs w:val="24"/>
        </w:rPr>
        <w:t>stanovilo místní koeficient v maximální výši pět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(Palkovice, Žabeň, Bílá, Čeladná, Staré Hamry, Stonava)</w:t>
      </w:r>
      <w:r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Výčtem parcel byly stanoveny místní koeficienty ve </w:t>
      </w:r>
      <w:r>
        <w:rPr>
          <w:b/>
          <w:sz w:val="24"/>
          <w:szCs w:val="24"/>
        </w:rPr>
        <w:t>2 obcích</w:t>
      </w:r>
      <w:r>
        <w:rPr>
          <w:sz w:val="24"/>
          <w:szCs w:val="24"/>
        </w:rPr>
        <w:t xml:space="preserve"> (obec Šenov pro tyto parcely stanovila koeficient ve výši 4,0 a obec Studénka ve výši 2,0).  Šenov stanovil obecně závaznou vyhláškou pro zbytek obce místní koeficient ve výši 2,0.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Podrobné informace o místních koeficientech stanovených obcemi v Moravskoslezském kraji naleznete v příloze této tiskové zprávy a na všech územních pracovištích Finančního úřadu pro Moravskoslezský kraj.</w:t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Placení daně z nemovitých věcí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Lhůta pro zaplacení daně z nemovitých věcí (případně zálohy na tuto daň) běží až do </w:t>
      </w:r>
      <w:r>
        <w:rPr>
          <w:b/>
          <w:bCs/>
          <w:sz w:val="24"/>
          <w:szCs w:val="24"/>
        </w:rPr>
        <w:t>31. května 2023.</w:t>
      </w:r>
      <w:r>
        <w:rPr>
          <w:sz w:val="24"/>
          <w:szCs w:val="24"/>
        </w:rPr>
        <w:t xml:space="preserve"> Zaplatit daň je možné pomocí  elektronického bankovnictví (včetně použití QR kódu), na  poště pomocí obdržené složenky (s poštovními poplatky)  nebo  prostřednictvím SIPO. V hotovosti lze daň zaplatit pouze na daňové pokladně na Územním pracovišti Ostrava I, ul. Jurečkova, poblíž nákupního centra Karolína.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K placení SIPO je nutno se na finančním úřadě  přihlásit, a to nejpozději </w:t>
      </w:r>
      <w:r>
        <w:rPr>
          <w:sz w:val="24"/>
          <w:szCs w:val="24"/>
          <w:u w:val="single"/>
        </w:rPr>
        <w:t>do 31. ledna</w:t>
      </w:r>
      <w:r>
        <w:rPr>
          <w:sz w:val="24"/>
          <w:szCs w:val="24"/>
        </w:rPr>
        <w:t>. Bližší informace </w:t>
      </w:r>
      <w:hyperlink r:id="rId6" w:tgtFrame="SIPO">
        <w:r>
          <w:rPr>
            <w:rStyle w:val="Internetovodkaz"/>
            <w:sz w:val="24"/>
            <w:szCs w:val="24"/>
          </w:rPr>
          <w:t>zde</w:t>
        </w:r>
      </w:hyperlink>
      <w:r>
        <w:rPr>
          <w:sz w:val="24"/>
          <w:szCs w:val="24"/>
        </w:rPr>
        <w:t xml:space="preserve">. Údaje k placení daně z nemovitých věcí lze dostávat e-mailem, v tomto případě je nutné zažádat na finančním úřadě o zaslání nejpozději </w:t>
      </w:r>
      <w:r>
        <w:rPr>
          <w:sz w:val="24"/>
          <w:szCs w:val="24"/>
          <w:u w:val="single"/>
        </w:rPr>
        <w:t>do 15. března</w:t>
      </w:r>
      <w:r>
        <w:rPr>
          <w:sz w:val="24"/>
          <w:szCs w:val="24"/>
        </w:rPr>
        <w:t>. Bližší informace  </w:t>
      </w:r>
      <w:hyperlink r:id="rId7" w:tgtFrame="Zasílání údajů pro placení daně e-mailem">
        <w:r>
          <w:rPr>
            <w:rStyle w:val="Internetovodkaz"/>
            <w:sz w:val="24"/>
            <w:szCs w:val="24"/>
          </w:rPr>
          <w:t>zde</w:t>
        </w:r>
      </w:hyperlink>
      <w:r>
        <w:rPr>
          <w:rStyle w:val="Internetovodkaz"/>
          <w:sz w:val="24"/>
          <w:szCs w:val="24"/>
        </w:rPr>
        <w:t xml:space="preserve">. </w:t>
      </w:r>
      <w:r>
        <w:rPr>
          <w:sz w:val="24"/>
          <w:szCs w:val="24"/>
        </w:rPr>
        <w:t xml:space="preserve"> Majitelé datových schránek obdrží informace k placení do svých datových schránek.  Uživatelé daňové informační schránky DIS+ naleznou informace právě v této schránce, v sekci nastavení a informace o subjektu.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V Ostravě dne 19. ledna 2023</w:t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Ing. Petra Homolová</w:t>
        <w:tab/>
        <w:tab/>
        <w:tab/>
        <w:tab/>
        <w:tab/>
        <w:tab/>
        <w:t xml:space="preserve"> </w:t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tisková mluvčí finančního úřadu</w:t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  <w:t>Příloha: tabulka koeficientů</w:t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>
        <w:rPr>
          <w:b/>
          <w:sz w:val="24"/>
          <w:szCs w:val="24"/>
        </w:rPr>
        <w:t xml:space="preserve">Koeficienty dle § 12 ZDNV pro rok 2023 </w:t>
      </w:r>
    </w:p>
    <w:p>
      <w:pPr>
        <w:pStyle w:val="Normal"/>
        <w:spacing w:lineRule="auto" w:line="240" w:before="0" w:after="0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9042" w:type="dxa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4" w:space="0" w:color="000000"/>
          <w:insideH w:val="single" w:sz="12" w:space="0" w:color="000000"/>
          <w:insideV w:val="single" w:sz="4" w:space="0" w:color="000000"/>
        </w:tblBorders>
        <w:tblCellMar>
          <w:top w:w="0" w:type="dxa"/>
          <w:left w:w="55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690"/>
        <w:gridCol w:w="1150"/>
        <w:gridCol w:w="2820"/>
        <w:gridCol w:w="1718"/>
        <w:gridCol w:w="1664"/>
      </w:tblGrid>
      <w:tr>
        <w:trPr>
          <w:trHeight w:val="420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Poř. č.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koeficient-celá obec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koeficient-část obce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0"/>
                <w:szCs w:val="20"/>
                <w:lang w:eastAsia="cs-CZ"/>
              </w:rPr>
              <w:t>Bruntál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cs-CZ"/>
              </w:rPr>
              <w:t>Lomnice u Rýmařova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Rudná pod Pradědem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Úvalno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Dívčí Hrad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Břidličná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Razová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Rýmařov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Čaková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Holčovice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Janov u Krnova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Jindřichov ve Slezsku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Petrovice ve Slezsku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  <w:t>Frýdek - Místek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Baška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Dobrá u Frýdku-Místku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Hukvaldy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Morávka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Nižní Lhoty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Nošovice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Oprechtice ve Slezsku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  <w:insideH w:val="single" w:sz="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Palkovice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Paskov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Pražmo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Staříč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Sviadnov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Třanovice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Poř. č.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koeficient-celá obec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koeficient-část obce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Vojkovice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39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Žabeň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24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Bílá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Čeladná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Frýdlant nad Ostravicí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Janovice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Malenovice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Ostravice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color w:val="FF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color w:val="FF0000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Krásná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Staré Hamry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  <w:insideH w:val="single" w:sz="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  <w:t>Karviná</w:t>
            </w: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Bohumín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Havířov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Dětmarovice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  <w:insideH w:val="single" w:sz="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Karviná - Město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12" w:space="0" w:color="000000"/>
              <w:insideH w:val="single" w:sz="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Stonava</w:t>
            </w:r>
          </w:p>
        </w:tc>
        <w:tc>
          <w:tcPr>
            <w:tcW w:w="171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Doubrava u Orlové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  <w:t>Nový Jičín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Štramberk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Mořkov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Sedlnice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Studénka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x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bCs/>
                <w:sz w:val="20"/>
                <w:szCs w:val="20"/>
                <w:lang w:eastAsia="cs-CZ"/>
              </w:rPr>
              <w:t>2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Velké Albrechtice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  <w:t>Opava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Neplachovice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Nové Lublice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FF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Mikolajice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FF0000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Kružberk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1,1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 xml:space="preserve">Opava 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Raduň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b/>
                <w:sz w:val="20"/>
                <w:szCs w:val="20"/>
                <w:lang w:eastAsia="cs-CZ"/>
              </w:rPr>
              <w:t>Ostrava - město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28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 xml:space="preserve">Šenov 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4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Václavovice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Vratimov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color w:val="000000" w:themeColor="text1"/>
                <w:sz w:val="20"/>
                <w:szCs w:val="20"/>
                <w:lang w:eastAsia="cs-CZ"/>
              </w:rPr>
              <w:t>2,3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Klimkovice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  <w:tr>
        <w:trPr>
          <w:trHeight w:val="312" w:hRule="atLeast"/>
        </w:trPr>
        <w:tc>
          <w:tcPr>
            <w:tcW w:w="16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28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Olbramice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sz w:val="20"/>
                <w:szCs w:val="20"/>
                <w:lang w:eastAsia="cs-CZ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cs-CZ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1fb6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641fb6"/>
    <w:rPr>
      <w:rFonts w:ascii="Times New Roman" w:hAnsi="Times New Roman" w:eastAsia="Times New Roman" w:cs="Times New Roman"/>
      <w:sz w:val="24"/>
      <w:szCs w:val="20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641fb6"/>
    <w:rPr>
      <w:rFonts w:ascii="Tahoma" w:hAnsi="Tahoma" w:cs="Tahoma"/>
      <w:sz w:val="16"/>
      <w:szCs w:val="16"/>
    </w:rPr>
  </w:style>
  <w:style w:type="character" w:styleId="Internetovodkaz">
    <w:name w:val="Internetový odkaz"/>
    <w:basedOn w:val="DefaultParagraphFont"/>
    <w:uiPriority w:val="99"/>
    <w:unhideWhenUsed/>
    <w:rsid w:val="00a71c5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7d369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40989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bf292b"/>
    <w:rPr>
      <w:b/>
      <w:bCs/>
    </w:rPr>
  </w:style>
  <w:style w:type="character" w:styleId="ListLabel1">
    <w:name w:val="ListLabel 1"/>
    <w:qFormat/>
    <w:rPr>
      <w:rFonts w:eastAsia="Calibri" w:cs="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Calibri" w:cs="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4"/>
      <w:szCs w:val="24"/>
    </w:rPr>
  </w:style>
  <w:style w:type="character" w:styleId="ListLabel19">
    <w:name w:val="ListLabel 19"/>
    <w:qFormat/>
    <w:rPr/>
  </w:style>
  <w:style w:type="character" w:styleId="ListLabel20">
    <w:name w:val="ListLabel 20"/>
    <w:qFormat/>
    <w:rPr>
      <w:b/>
      <w:sz w:val="24"/>
      <w:szCs w:val="24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Header"/>
    <w:basedOn w:val="Normal"/>
    <w:link w:val="ZhlavChar"/>
    <w:rsid w:val="00641fb6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641fb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637f5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e40989"/>
    <w:pPr/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ulkasmkou4">
    <w:name w:val="Grid Table 4"/>
    <w:basedOn w:val="Normlntabulka"/>
    <w:uiPriority w:val="49"/>
    <w:rsid w:val="00a552a5"/>
    <w:pPr>
      <w:spacing w:after="0" w:line="240" w:lineRule="auto"/>
    </w:pPr>
    <w:tblPr>
      <w:tblStyleRowBandSize w:val="1"/>
      <w:tblStyleColBandSize w:val="1"/>
      <w:tblBorders>
        <w:top w:val="single" w:color="666666" w:themeColor="text1" w:themeTint="99" w:sz="4" w:space="0"/>
        <w:left w:val="single" w:color="666666" w:themeColor="text1" w:themeTint="99" w:sz="4" w:space="0"/>
        <w:bottom w:val="single" w:color="666666" w:themeColor="text1" w:themeTint="99" w:sz="4" w:space="0"/>
        <w:right w:val="single" w:color="666666" w:themeColor="text1" w:themeTint="99" w:sz="4" w:space="0"/>
        <w:insideH w:val="single" w:color="666666" w:themeColor="text1" w:themeTint="99" w:sz="4" w:space="0"/>
        <w:insideV w:val="single" w:color="666666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financnisprava.cz/" TargetMode="External"/><Relationship Id="rId4" Type="http://schemas.openxmlformats.org/officeDocument/2006/relationships/hyperlink" Target="https://www.financnisprava.cz/cs/dane/dane/dan-z-nemovitych-veci" TargetMode="External"/><Relationship Id="rId5" Type="http://schemas.openxmlformats.org/officeDocument/2006/relationships/hyperlink" Target="http://www.mojedane.cz/" TargetMode="External"/><Relationship Id="rId6" Type="http://schemas.openxmlformats.org/officeDocument/2006/relationships/hyperlink" Target="https://www.financnisprava.cz/cs/dane/dane/dan-z-nemovitych-veci/sipo" TargetMode="External"/><Relationship Id="rId7" Type="http://schemas.openxmlformats.org/officeDocument/2006/relationships/hyperlink" Target="https://www.financnisprava.cz/cs/dane/dane/dan-z-nemovitych-veci/zasilani-udaju-pro-placeni-dane-e-mailem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LibreOffice/6.1.1.2$Windows_X86_64 LibreOffice_project/5d19a1bfa650b796764388cd8b33a5af1f5baa1b</Application>
  <Pages>18</Pages>
  <Words>1500</Words>
  <Characters>7890</Characters>
  <CharactersWithSpaces>9229</CharactersWithSpaces>
  <Paragraphs>283</Paragraphs>
  <Company>GFŘ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2023-01-19T12:46:00Z</dcterms:created>
  <dc:creator>Petlachová Petra Ing. (FÚ pro Moravskoslezský kraj)</dc:creator>
  <dc:description/>
  <dc:language>cs-CZ</dc:language>
  <cp:lastModifiedBy>Homolová Petra Ing. (FÚ pro Moravskoslezský kraj)</cp:lastModifiedBy>
  <cp:lastPrinted>2023-01-02T12:10:00Z</cp:lastPrinted>
  <dcterms:modified xsi:type="dcterms:W3CDTF">2023-01-19T12:48:00Z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GFŘ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